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5F" w:rsidRDefault="00A61E5F" w:rsidP="004E5FDB">
      <w:pPr>
        <w:spacing w:after="0"/>
        <w:jc w:val="both"/>
        <w:rPr>
          <w:rFonts w:ascii="Times New Roman" w:hAnsi="Times New Roman"/>
        </w:rPr>
      </w:pPr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:rsidR="00A61E5F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Pr="00A34D57">
        <w:rPr>
          <w:rFonts w:ascii="Arial" w:hAnsi="Arial" w:cs="Arial"/>
          <w:b/>
          <w:iCs/>
        </w:rPr>
        <w:t xml:space="preserve">dbor komunikace </w:t>
      </w:r>
    </w:p>
    <w:p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:rsidR="00A61E5F" w:rsidRPr="006B0F6C" w:rsidRDefault="00A61E5F" w:rsidP="00A61E5F">
      <w:pPr>
        <w:pStyle w:val="Zhlav"/>
        <w:tabs>
          <w:tab w:val="left" w:pos="10773"/>
        </w:tabs>
        <w:jc w:val="center"/>
        <w:rPr>
          <w:i/>
          <w:iCs/>
        </w:rPr>
      </w:pPr>
      <w:r w:rsidRPr="00A34D57">
        <w:rPr>
          <w:rFonts w:ascii="Arial" w:hAnsi="Arial" w:cs="Arial"/>
          <w:iCs/>
        </w:rPr>
        <w:t>Tel.: 257 044</w:t>
      </w:r>
      <w:r w:rsidR="00EE378F">
        <w:rPr>
          <w:rFonts w:ascii="Arial" w:hAnsi="Arial" w:cs="Arial"/>
          <w:iCs/>
        </w:rPr>
        <w:t> </w:t>
      </w:r>
      <w:r w:rsidRPr="00A34D57">
        <w:rPr>
          <w:rFonts w:ascii="Arial" w:hAnsi="Arial" w:cs="Arial"/>
          <w:iCs/>
        </w:rPr>
        <w:t>025</w:t>
      </w:r>
    </w:p>
    <w:p w:rsidR="00EE378F" w:rsidRDefault="00EE378F" w:rsidP="00A61E5F">
      <w:pPr>
        <w:jc w:val="center"/>
        <w:outlineLvl w:val="0"/>
        <w:rPr>
          <w:b/>
          <w:sz w:val="32"/>
          <w:szCs w:val="32"/>
        </w:rPr>
      </w:pPr>
    </w:p>
    <w:p w:rsidR="00A61E5F" w:rsidRDefault="00A61E5F" w:rsidP="00A61E5F">
      <w:pPr>
        <w:jc w:val="center"/>
        <w:outlineLvl w:val="0"/>
        <w:rPr>
          <w:b/>
          <w:sz w:val="32"/>
          <w:szCs w:val="32"/>
        </w:rPr>
      </w:pPr>
      <w:r w:rsidRPr="000B0A87">
        <w:rPr>
          <w:b/>
          <w:sz w:val="32"/>
          <w:szCs w:val="32"/>
        </w:rPr>
        <w:t>TISKOVÁ ZPRÁVA</w:t>
      </w:r>
    </w:p>
    <w:p w:rsidR="00124940" w:rsidRPr="004B5911" w:rsidRDefault="004D1CDF" w:rsidP="005D4069">
      <w:pPr>
        <w:pStyle w:val="Nadpis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4B5911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První složenky </w:t>
      </w:r>
      <w:r w:rsidR="00417863" w:rsidRPr="004B5911">
        <w:rPr>
          <w:rFonts w:asciiTheme="minorHAnsi" w:hAnsiTheme="minorHAnsi" w:cstheme="minorHAnsi"/>
          <w:color w:val="auto"/>
          <w:sz w:val="24"/>
          <w:szCs w:val="24"/>
          <w:u w:val="single"/>
        </w:rPr>
        <w:t>pro</w:t>
      </w:r>
      <w:r w:rsidR="00124940" w:rsidRPr="004B5911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 zaplacení daně z nemovitých věcí </w:t>
      </w:r>
      <w:r w:rsidRPr="004B5911">
        <w:rPr>
          <w:rFonts w:asciiTheme="minorHAnsi" w:hAnsiTheme="minorHAnsi" w:cstheme="minorHAnsi"/>
          <w:color w:val="auto"/>
          <w:sz w:val="24"/>
          <w:szCs w:val="24"/>
          <w:u w:val="single"/>
        </w:rPr>
        <w:t>už dorazily do schránek poplatníků</w:t>
      </w:r>
    </w:p>
    <w:p w:rsidR="00764B7F" w:rsidRPr="004B5911" w:rsidRDefault="00764B7F" w:rsidP="00124940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</w:rPr>
      </w:pPr>
    </w:p>
    <w:p w:rsidR="00ED71F3" w:rsidRPr="004B5911" w:rsidRDefault="004D1CDF" w:rsidP="00693B66">
      <w:pPr>
        <w:jc w:val="both"/>
        <w:rPr>
          <w:rFonts w:cstheme="minorHAnsi"/>
          <w:b/>
        </w:rPr>
      </w:pPr>
      <w:r w:rsidRPr="004B5911">
        <w:rPr>
          <w:rFonts w:cstheme="minorHAnsi"/>
          <w:b/>
          <w:bCs/>
        </w:rPr>
        <w:t>Finanční správa v těchto dnech zahájila rozesílku</w:t>
      </w:r>
      <w:r w:rsidR="00417863" w:rsidRPr="004B5911">
        <w:rPr>
          <w:rFonts w:cstheme="minorHAnsi"/>
          <w:b/>
          <w:bCs/>
        </w:rPr>
        <w:t xml:space="preserve"> celkem</w:t>
      </w:r>
      <w:r w:rsidR="004D65E7" w:rsidRPr="004B5911">
        <w:rPr>
          <w:rFonts w:cstheme="minorHAnsi"/>
          <w:b/>
          <w:bCs/>
        </w:rPr>
        <w:t xml:space="preserve"> cca 3,3 mil.</w:t>
      </w:r>
      <w:r w:rsidRPr="004B5911">
        <w:rPr>
          <w:rFonts w:cstheme="minorHAnsi"/>
          <w:b/>
          <w:bCs/>
        </w:rPr>
        <w:t xml:space="preserve"> obálek se složenkami na zaplacení daně z nemovitých věcí na rok 201</w:t>
      </w:r>
      <w:r w:rsidR="008418F3" w:rsidRPr="004B5911">
        <w:rPr>
          <w:rFonts w:cstheme="minorHAnsi"/>
          <w:b/>
          <w:bCs/>
        </w:rPr>
        <w:t>8</w:t>
      </w:r>
      <w:r w:rsidRPr="004B5911">
        <w:rPr>
          <w:rFonts w:cstheme="minorHAnsi"/>
          <w:b/>
          <w:bCs/>
        </w:rPr>
        <w:t xml:space="preserve">. </w:t>
      </w:r>
      <w:r w:rsidR="00124940" w:rsidRPr="004B5911">
        <w:rPr>
          <w:rFonts w:cstheme="minorHAnsi"/>
          <w:b/>
          <w:bCs/>
        </w:rPr>
        <w:t xml:space="preserve">Lhůta pro </w:t>
      </w:r>
      <w:r w:rsidR="00DB6709" w:rsidRPr="004B5911">
        <w:rPr>
          <w:rFonts w:cstheme="minorHAnsi"/>
          <w:b/>
          <w:bCs/>
        </w:rPr>
        <w:t>za</w:t>
      </w:r>
      <w:r w:rsidR="00124940" w:rsidRPr="004B5911">
        <w:rPr>
          <w:rFonts w:cstheme="minorHAnsi"/>
          <w:b/>
          <w:bCs/>
        </w:rPr>
        <w:t xml:space="preserve">placení daně </w:t>
      </w:r>
      <w:r w:rsidR="007A73F1" w:rsidRPr="004B5911">
        <w:rPr>
          <w:rFonts w:cstheme="minorHAnsi"/>
          <w:b/>
          <w:bCs/>
        </w:rPr>
        <w:t xml:space="preserve">(nebo její první splátky) </w:t>
      </w:r>
      <w:r w:rsidR="00124940" w:rsidRPr="004B5911">
        <w:rPr>
          <w:rFonts w:cstheme="minorHAnsi"/>
          <w:b/>
          <w:bCs/>
        </w:rPr>
        <w:t xml:space="preserve">končí </w:t>
      </w:r>
      <w:r w:rsidR="00813181" w:rsidRPr="004B5911">
        <w:rPr>
          <w:rFonts w:cstheme="minorHAnsi"/>
          <w:b/>
          <w:bCs/>
        </w:rPr>
        <w:t>3</w:t>
      </w:r>
      <w:r w:rsidR="00124940" w:rsidRPr="004B5911">
        <w:rPr>
          <w:rFonts w:cstheme="minorHAnsi"/>
          <w:b/>
          <w:bCs/>
        </w:rPr>
        <w:t xml:space="preserve">1. </w:t>
      </w:r>
      <w:r w:rsidR="00813181" w:rsidRPr="004B5911">
        <w:rPr>
          <w:rFonts w:cstheme="minorHAnsi"/>
          <w:b/>
          <w:bCs/>
        </w:rPr>
        <w:t>květ</w:t>
      </w:r>
      <w:r w:rsidR="00124940" w:rsidRPr="004B5911">
        <w:rPr>
          <w:rFonts w:cstheme="minorHAnsi"/>
          <w:b/>
          <w:bCs/>
        </w:rPr>
        <w:t xml:space="preserve">na. </w:t>
      </w:r>
      <w:r w:rsidR="00ED71F3" w:rsidRPr="004B5911">
        <w:rPr>
          <w:rFonts w:cstheme="minorHAnsi"/>
          <w:b/>
          <w:bCs/>
        </w:rPr>
        <w:t>Fyzické osoby</w:t>
      </w:r>
      <w:r w:rsidR="008418F3" w:rsidRPr="004B5911">
        <w:rPr>
          <w:rFonts w:cstheme="minorHAnsi"/>
          <w:b/>
          <w:bCs/>
        </w:rPr>
        <w:t>, které nemají zřízenu datovou schránku,</w:t>
      </w:r>
      <w:r w:rsidR="00ED71F3" w:rsidRPr="004B5911">
        <w:rPr>
          <w:rFonts w:cstheme="minorHAnsi"/>
          <w:b/>
          <w:bCs/>
        </w:rPr>
        <w:t xml:space="preserve"> obdrží </w:t>
      </w:r>
      <w:r w:rsidR="00A60F2B" w:rsidRPr="004B5911">
        <w:rPr>
          <w:rFonts w:cstheme="minorHAnsi"/>
          <w:b/>
          <w:bCs/>
        </w:rPr>
        <w:t xml:space="preserve">do poštovních schránek </w:t>
      </w:r>
      <w:r w:rsidRPr="004B5911">
        <w:rPr>
          <w:rFonts w:cstheme="minorHAnsi"/>
          <w:b/>
          <w:bCs/>
        </w:rPr>
        <w:t>bezplatnou</w:t>
      </w:r>
      <w:r w:rsidR="007A1877" w:rsidRPr="004B5911">
        <w:rPr>
          <w:rFonts w:cstheme="minorHAnsi"/>
          <w:b/>
          <w:bCs/>
        </w:rPr>
        <w:t xml:space="preserve"> </w:t>
      </w:r>
      <w:r w:rsidRPr="004B5911">
        <w:rPr>
          <w:rFonts w:cstheme="minorHAnsi"/>
          <w:b/>
          <w:bCs/>
        </w:rPr>
        <w:t>„daňovou“ složenku</w:t>
      </w:r>
      <w:r w:rsidR="00ED71F3" w:rsidRPr="004B5911">
        <w:rPr>
          <w:rFonts w:cstheme="minorHAnsi"/>
          <w:b/>
          <w:bCs/>
        </w:rPr>
        <w:t xml:space="preserve">. </w:t>
      </w:r>
      <w:r w:rsidR="008418F3" w:rsidRPr="004B5911">
        <w:rPr>
          <w:rFonts w:cstheme="minorHAnsi"/>
          <w:b/>
          <w:bCs/>
        </w:rPr>
        <w:t xml:space="preserve">Fyzické osoby, které mají zřízenu datovou schránku fyzické osoby nebo fyzické osoby podnikající obdrží informace pro placení daně do své datové schránky. Taktéž </w:t>
      </w:r>
      <w:r w:rsidR="008418F3" w:rsidRPr="004B5911">
        <w:rPr>
          <w:rFonts w:cstheme="minorHAnsi"/>
          <w:b/>
        </w:rPr>
        <w:t>p</w:t>
      </w:r>
      <w:r w:rsidR="00ED71F3" w:rsidRPr="004B5911">
        <w:rPr>
          <w:rFonts w:cstheme="minorHAnsi"/>
          <w:b/>
        </w:rPr>
        <w:t xml:space="preserve">rávnické osoby obdrží informaci o daňové povinnosti do datových schránek. Pokud </w:t>
      </w:r>
      <w:r w:rsidR="008418F3" w:rsidRPr="004B5911">
        <w:rPr>
          <w:rFonts w:cstheme="minorHAnsi"/>
          <w:b/>
        </w:rPr>
        <w:t xml:space="preserve">právnická osoba </w:t>
      </w:r>
      <w:r w:rsidR="00ED71F3" w:rsidRPr="004B5911">
        <w:rPr>
          <w:rFonts w:cstheme="minorHAnsi"/>
          <w:b/>
        </w:rPr>
        <w:t>nem</w:t>
      </w:r>
      <w:r w:rsidR="008418F3" w:rsidRPr="004B5911">
        <w:rPr>
          <w:rFonts w:cstheme="minorHAnsi"/>
          <w:b/>
        </w:rPr>
        <w:t>á</w:t>
      </w:r>
      <w:r w:rsidR="00ED71F3" w:rsidRPr="004B5911">
        <w:rPr>
          <w:rFonts w:cstheme="minorHAnsi"/>
          <w:b/>
        </w:rPr>
        <w:t xml:space="preserve"> zpřístupněnou datovou schránku, dostan</w:t>
      </w:r>
      <w:r w:rsidR="008418F3" w:rsidRPr="004B5911">
        <w:rPr>
          <w:rFonts w:cstheme="minorHAnsi"/>
          <w:b/>
        </w:rPr>
        <w:t>e</w:t>
      </w:r>
      <w:r w:rsidR="00ED71F3" w:rsidRPr="004B5911">
        <w:rPr>
          <w:rFonts w:cstheme="minorHAnsi"/>
          <w:b/>
        </w:rPr>
        <w:t xml:space="preserve"> </w:t>
      </w:r>
      <w:r w:rsidR="007A1877" w:rsidRPr="004B5911">
        <w:rPr>
          <w:rFonts w:cstheme="minorHAnsi"/>
          <w:b/>
        </w:rPr>
        <w:t xml:space="preserve">poštou </w:t>
      </w:r>
      <w:r w:rsidR="00ED71F3" w:rsidRPr="004B5911">
        <w:rPr>
          <w:rFonts w:cstheme="minorHAnsi"/>
          <w:b/>
        </w:rPr>
        <w:t>běžnou poštovní poukázku.</w:t>
      </w:r>
      <w:r w:rsidRPr="004B5911">
        <w:rPr>
          <w:rFonts w:cstheme="minorHAnsi"/>
          <w:b/>
        </w:rPr>
        <w:t xml:space="preserve"> Kdo se přihlásil k</w:t>
      </w:r>
      <w:r w:rsidR="004D65E7" w:rsidRPr="004B5911">
        <w:rPr>
          <w:rFonts w:cstheme="minorHAnsi"/>
          <w:b/>
        </w:rPr>
        <w:t xml:space="preserve"> zasílání údajů pro placení daně </w:t>
      </w:r>
      <w:r w:rsidR="00A60F2B" w:rsidRPr="004B5911">
        <w:rPr>
          <w:rFonts w:cstheme="minorHAnsi"/>
          <w:b/>
        </w:rPr>
        <w:t>e-</w:t>
      </w:r>
      <w:r w:rsidRPr="004B5911">
        <w:rPr>
          <w:rFonts w:cstheme="minorHAnsi"/>
          <w:b/>
        </w:rPr>
        <w:t xml:space="preserve">mailem, dostane všechny potřebné informace k placení daně do své </w:t>
      </w:r>
      <w:r w:rsidR="00A60F2B" w:rsidRPr="004B5911">
        <w:rPr>
          <w:rFonts w:cstheme="minorHAnsi"/>
          <w:b/>
        </w:rPr>
        <w:t>e-</w:t>
      </w:r>
      <w:r w:rsidRPr="004B5911">
        <w:rPr>
          <w:rFonts w:cstheme="minorHAnsi"/>
          <w:b/>
        </w:rPr>
        <w:t>mailové schránky.</w:t>
      </w:r>
      <w:r w:rsidR="004D65E7" w:rsidRPr="004B5911">
        <w:rPr>
          <w:rFonts w:cstheme="minorHAnsi"/>
          <w:b/>
        </w:rPr>
        <w:t xml:space="preserve"> </w:t>
      </w:r>
      <w:r w:rsidR="004F398B" w:rsidRPr="004B5911">
        <w:rPr>
          <w:rFonts w:cstheme="minorHAnsi"/>
          <w:b/>
        </w:rPr>
        <w:t>V</w:t>
      </w:r>
      <w:r w:rsidR="004D65E7" w:rsidRPr="004B5911">
        <w:rPr>
          <w:rFonts w:cstheme="minorHAnsi"/>
          <w:b/>
        </w:rPr>
        <w:t> případě poplatníků přihlášených k placení daně prostřednictvím SIPO, proběhne úhrada daně v soul</w:t>
      </w:r>
      <w:r w:rsidR="004B5911" w:rsidRPr="004B5911">
        <w:rPr>
          <w:rFonts w:cstheme="minorHAnsi"/>
          <w:b/>
        </w:rPr>
        <w:t>adu s podmínkami České pošty</w:t>
      </w:r>
      <w:r w:rsidR="004D65E7" w:rsidRPr="004B5911">
        <w:rPr>
          <w:rFonts w:cstheme="minorHAnsi"/>
          <w:b/>
        </w:rPr>
        <w:t xml:space="preserve">. </w:t>
      </w:r>
      <w:r w:rsidR="00ED71F3" w:rsidRPr="004B5911">
        <w:rPr>
          <w:rFonts w:cstheme="minorHAnsi"/>
          <w:b/>
        </w:rPr>
        <w:t xml:space="preserve">  </w:t>
      </w:r>
    </w:p>
    <w:p w:rsidR="00733880" w:rsidRPr="004B5911" w:rsidRDefault="00733880" w:rsidP="00ED71F3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4B5911">
        <w:rPr>
          <w:rFonts w:cstheme="minorHAnsi"/>
        </w:rPr>
        <w:t xml:space="preserve">Aby se na poštách a u pokladen netvořily nepříjemné fronty, složenky jsou </w:t>
      </w:r>
      <w:r w:rsidR="004F5FB5" w:rsidRPr="004B5911">
        <w:rPr>
          <w:rFonts w:cstheme="minorHAnsi"/>
        </w:rPr>
        <w:t xml:space="preserve">rozesílány </w:t>
      </w:r>
      <w:r w:rsidRPr="004B5911">
        <w:rPr>
          <w:rFonts w:cstheme="minorHAnsi"/>
        </w:rPr>
        <w:t xml:space="preserve">poplatníkům postupně tak, aby v jedné lokalitě neobdrželi všichni složenky současně. Poslední z nich poplatníci obdrží </w:t>
      </w:r>
      <w:r w:rsidRPr="004B5911">
        <w:rPr>
          <w:rFonts w:cstheme="minorHAnsi"/>
          <w:b/>
        </w:rPr>
        <w:t xml:space="preserve">nejpozději do </w:t>
      </w:r>
      <w:r w:rsidR="008418F3" w:rsidRPr="004B5911">
        <w:rPr>
          <w:rFonts w:cstheme="minorHAnsi"/>
          <w:b/>
        </w:rPr>
        <w:t>2</w:t>
      </w:r>
      <w:r w:rsidR="00AC15B9" w:rsidRPr="004B5911">
        <w:rPr>
          <w:rFonts w:cstheme="minorHAnsi"/>
          <w:b/>
        </w:rPr>
        <w:t>2</w:t>
      </w:r>
      <w:r w:rsidRPr="004B5911">
        <w:rPr>
          <w:rFonts w:cstheme="minorHAnsi"/>
          <w:b/>
        </w:rPr>
        <w:t>. května</w:t>
      </w:r>
      <w:r w:rsidRPr="004B5911">
        <w:rPr>
          <w:rFonts w:cstheme="minorHAnsi"/>
        </w:rPr>
        <w:t xml:space="preserve">. </w:t>
      </w:r>
    </w:p>
    <w:p w:rsidR="00173981" w:rsidRPr="004B5911" w:rsidRDefault="00173981" w:rsidP="00ED71F3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4B5911">
        <w:rPr>
          <w:rFonts w:cstheme="minorHAnsi"/>
        </w:rPr>
        <w:t xml:space="preserve">Nepřesáhne-li částka daně </w:t>
      </w:r>
      <w:r w:rsidRPr="004B5911">
        <w:rPr>
          <w:rFonts w:cstheme="minorHAnsi"/>
          <w:b/>
        </w:rPr>
        <w:t>5</w:t>
      </w:r>
      <w:r w:rsidR="00ED71F3" w:rsidRPr="004B5911">
        <w:rPr>
          <w:rFonts w:cstheme="minorHAnsi"/>
          <w:b/>
        </w:rPr>
        <w:t xml:space="preserve"> </w:t>
      </w:r>
      <w:r w:rsidRPr="004B5911">
        <w:rPr>
          <w:rFonts w:cstheme="minorHAnsi"/>
          <w:b/>
        </w:rPr>
        <w:t xml:space="preserve">000 </w:t>
      </w:r>
      <w:r w:rsidR="004B5911">
        <w:rPr>
          <w:rFonts w:cstheme="minorHAnsi"/>
          <w:b/>
        </w:rPr>
        <w:t>Kč</w:t>
      </w:r>
      <w:r w:rsidRPr="004B5911">
        <w:rPr>
          <w:rFonts w:cstheme="minorHAnsi"/>
        </w:rPr>
        <w:t xml:space="preserve">, je splatná celá do </w:t>
      </w:r>
      <w:r w:rsidR="00ED71F3" w:rsidRPr="004B5911">
        <w:rPr>
          <w:rFonts w:cstheme="minorHAnsi"/>
        </w:rPr>
        <w:t>3</w:t>
      </w:r>
      <w:r w:rsidRPr="004B5911">
        <w:rPr>
          <w:rFonts w:cstheme="minorHAnsi"/>
        </w:rPr>
        <w:t xml:space="preserve">1. </w:t>
      </w:r>
      <w:r w:rsidR="00ED71F3" w:rsidRPr="004B5911">
        <w:rPr>
          <w:rFonts w:cstheme="minorHAnsi"/>
        </w:rPr>
        <w:t>května</w:t>
      </w:r>
      <w:r w:rsidRPr="004B5911">
        <w:rPr>
          <w:rFonts w:cstheme="minorHAnsi"/>
        </w:rPr>
        <w:t>. Je-li daň vyšší než 5</w:t>
      </w:r>
      <w:r w:rsidR="00ED71F3" w:rsidRPr="004B5911">
        <w:rPr>
          <w:rFonts w:cstheme="minorHAnsi"/>
        </w:rPr>
        <w:t xml:space="preserve"> </w:t>
      </w:r>
      <w:r w:rsidRPr="004B5911">
        <w:rPr>
          <w:rFonts w:cstheme="minorHAnsi"/>
        </w:rPr>
        <w:t xml:space="preserve">000 </w:t>
      </w:r>
      <w:r w:rsidR="004B5911">
        <w:rPr>
          <w:rFonts w:cstheme="minorHAnsi"/>
        </w:rPr>
        <w:t>Kč</w:t>
      </w:r>
      <w:r w:rsidRPr="004B5911">
        <w:rPr>
          <w:rFonts w:cstheme="minorHAnsi"/>
        </w:rPr>
        <w:t>, je splatná ve dvou splátkách</w:t>
      </w:r>
      <w:r w:rsidR="00ED71F3" w:rsidRPr="004B5911">
        <w:rPr>
          <w:rFonts w:cstheme="minorHAnsi"/>
          <w:b/>
        </w:rPr>
        <w:t xml:space="preserve"> </w:t>
      </w:r>
      <w:r w:rsidR="00ED71F3" w:rsidRPr="004B5911">
        <w:rPr>
          <w:rFonts w:cstheme="minorHAnsi"/>
        </w:rPr>
        <w:t>(do 31. května a do 30. listopadu)</w:t>
      </w:r>
      <w:r w:rsidRPr="004B5911">
        <w:rPr>
          <w:rFonts w:cstheme="minorHAnsi"/>
        </w:rPr>
        <w:t xml:space="preserve">, avšak poplatník ji může v  termínu </w:t>
      </w:r>
      <w:r w:rsidR="00A211C8" w:rsidRPr="004B5911">
        <w:rPr>
          <w:rFonts w:cstheme="minorHAnsi"/>
        </w:rPr>
        <w:t xml:space="preserve">do 31. května </w:t>
      </w:r>
      <w:r w:rsidRPr="004B5911">
        <w:rPr>
          <w:rFonts w:cstheme="minorHAnsi"/>
        </w:rPr>
        <w:t xml:space="preserve">zaplatit i najednou. </w:t>
      </w:r>
    </w:p>
    <w:p w:rsidR="00E1671C" w:rsidRPr="004B5911" w:rsidRDefault="002015D2" w:rsidP="00E64169">
      <w:pPr>
        <w:jc w:val="both"/>
        <w:rPr>
          <w:rFonts w:cstheme="minorHAnsi"/>
        </w:rPr>
      </w:pPr>
      <w:r w:rsidRPr="004B5911">
        <w:rPr>
          <w:rFonts w:cstheme="minorHAnsi"/>
        </w:rPr>
        <w:t>Informaci o c</w:t>
      </w:r>
      <w:r w:rsidR="00E64169" w:rsidRPr="004B5911">
        <w:rPr>
          <w:rFonts w:cstheme="minorHAnsi"/>
        </w:rPr>
        <w:t>elkov</w:t>
      </w:r>
      <w:r w:rsidRPr="004B5911">
        <w:rPr>
          <w:rFonts w:cstheme="minorHAnsi"/>
        </w:rPr>
        <w:t>é</w:t>
      </w:r>
      <w:r w:rsidR="00E64169" w:rsidRPr="004B5911">
        <w:rPr>
          <w:rFonts w:cstheme="minorHAnsi"/>
        </w:rPr>
        <w:t xml:space="preserve"> výši da</w:t>
      </w:r>
      <w:r w:rsidRPr="004B5911">
        <w:rPr>
          <w:rFonts w:cstheme="minorHAnsi"/>
        </w:rPr>
        <w:t>ně</w:t>
      </w:r>
      <w:r w:rsidR="00E64169" w:rsidRPr="004B5911">
        <w:rPr>
          <w:rFonts w:cstheme="minorHAnsi"/>
        </w:rPr>
        <w:t xml:space="preserve"> </w:t>
      </w:r>
      <w:r w:rsidRPr="004B5911">
        <w:rPr>
          <w:rFonts w:cstheme="minorHAnsi"/>
        </w:rPr>
        <w:t xml:space="preserve">a případném přeplatku nebo nedoplatku </w:t>
      </w:r>
      <w:r w:rsidR="00E64169" w:rsidRPr="004B5911">
        <w:rPr>
          <w:rFonts w:cstheme="minorHAnsi"/>
        </w:rPr>
        <w:t>se poplatník do</w:t>
      </w:r>
      <w:r w:rsidR="00923D62" w:rsidRPr="004B5911">
        <w:rPr>
          <w:rFonts w:cstheme="minorHAnsi"/>
        </w:rPr>
        <w:t>z</w:t>
      </w:r>
      <w:r w:rsidR="00E64169" w:rsidRPr="004B5911">
        <w:rPr>
          <w:rFonts w:cstheme="minorHAnsi"/>
        </w:rPr>
        <w:t>ví z oddělitelné části složenky</w:t>
      </w:r>
      <w:r w:rsidR="00F76038" w:rsidRPr="004B5911">
        <w:rPr>
          <w:rFonts w:cstheme="minorHAnsi"/>
        </w:rPr>
        <w:t xml:space="preserve"> (alonže)</w:t>
      </w:r>
      <w:r w:rsidR="00E64169" w:rsidRPr="004B5911">
        <w:rPr>
          <w:rFonts w:cstheme="minorHAnsi"/>
        </w:rPr>
        <w:t xml:space="preserve">, stejně jako adresu územního pracoviště, kde je uložen jeho daňový spis k dani z nemovitých věcí. </w:t>
      </w:r>
    </w:p>
    <w:p w:rsidR="00E1671C" w:rsidRPr="004B5911" w:rsidRDefault="00E64169" w:rsidP="00E64169">
      <w:pPr>
        <w:jc w:val="both"/>
        <w:rPr>
          <w:rFonts w:cstheme="minorHAnsi"/>
        </w:rPr>
      </w:pPr>
      <w:r w:rsidRPr="004B5911">
        <w:rPr>
          <w:rFonts w:cstheme="minorHAnsi"/>
        </w:rPr>
        <w:t xml:space="preserve">Kdo vlastní </w:t>
      </w:r>
      <w:r w:rsidRPr="004B5911">
        <w:rPr>
          <w:rFonts w:cstheme="minorHAnsi"/>
          <w:b/>
        </w:rPr>
        <w:t>více nemovitostí</w:t>
      </w:r>
      <w:r w:rsidRPr="004B5911">
        <w:rPr>
          <w:rFonts w:cstheme="minorHAnsi"/>
        </w:rPr>
        <w:t xml:space="preserve"> v jednom kraji</w:t>
      </w:r>
      <w:r w:rsidR="00B1593F" w:rsidRPr="004B5911">
        <w:rPr>
          <w:rFonts w:cstheme="minorHAnsi"/>
        </w:rPr>
        <w:t xml:space="preserve"> a nemá daň vyšší než 5 000 Kč</w:t>
      </w:r>
      <w:r w:rsidRPr="004B5911">
        <w:rPr>
          <w:rFonts w:cstheme="minorHAnsi"/>
        </w:rPr>
        <w:t>, najde v obálce jen jednu složenku, kde budou platby za všechny nemovitosti v kraji sečteny dohromady. Kdo vlastní nemovitosti na území různých krajů</w:t>
      </w:r>
      <w:r w:rsidR="00B1593F" w:rsidRPr="004B5911">
        <w:rPr>
          <w:rFonts w:cstheme="minorHAnsi"/>
        </w:rPr>
        <w:t xml:space="preserve"> nebo platí daň vyšší než 5 000 Kč</w:t>
      </w:r>
      <w:r w:rsidRPr="004B5911">
        <w:rPr>
          <w:rFonts w:cstheme="minorHAnsi"/>
        </w:rPr>
        <w:t>, najde v téže obálce více složenek.</w:t>
      </w:r>
      <w:r w:rsidR="00F76038" w:rsidRPr="004B5911">
        <w:rPr>
          <w:rFonts w:cstheme="minorHAnsi"/>
        </w:rPr>
        <w:t xml:space="preserve"> </w:t>
      </w:r>
    </w:p>
    <w:p w:rsidR="00E64169" w:rsidRPr="004B5911" w:rsidRDefault="00F76038" w:rsidP="00E64169">
      <w:pPr>
        <w:jc w:val="both"/>
        <w:rPr>
          <w:rFonts w:cstheme="minorHAnsi"/>
        </w:rPr>
      </w:pPr>
      <w:r w:rsidRPr="004B5911">
        <w:rPr>
          <w:rFonts w:cstheme="minorHAnsi"/>
        </w:rPr>
        <w:t>Na složenkách je předtištěn bankovní účet finančního úřadu, na který se daň platí, včetně předčíslí a</w:t>
      </w:r>
      <w:r w:rsidR="00B1593F" w:rsidRPr="004B5911">
        <w:rPr>
          <w:rFonts w:cstheme="minorHAnsi"/>
        </w:rPr>
        <w:t> </w:t>
      </w:r>
      <w:r w:rsidRPr="004B5911">
        <w:rPr>
          <w:rFonts w:cstheme="minorHAnsi"/>
        </w:rPr>
        <w:t xml:space="preserve">kódu banky. Částku celkové platby vyplní poplatník sám, a to podle údajů z alonže. </w:t>
      </w:r>
      <w:r w:rsidR="00FD3FF7" w:rsidRPr="004B5911">
        <w:rPr>
          <w:rFonts w:cstheme="minorHAnsi"/>
        </w:rPr>
        <w:t>P</w:t>
      </w:r>
      <w:r w:rsidR="00897759" w:rsidRPr="004B5911">
        <w:rPr>
          <w:rFonts w:cstheme="minorHAnsi"/>
        </w:rPr>
        <w:t>ro placení</w:t>
      </w:r>
      <w:r w:rsidR="00FD3FF7" w:rsidRPr="004B5911">
        <w:rPr>
          <w:rFonts w:cstheme="minorHAnsi"/>
        </w:rPr>
        <w:t xml:space="preserve"> lze využít</w:t>
      </w:r>
      <w:r w:rsidR="00897759" w:rsidRPr="004B5911">
        <w:rPr>
          <w:rFonts w:cstheme="minorHAnsi"/>
        </w:rPr>
        <w:t xml:space="preserve"> i QR kód</w:t>
      </w:r>
      <w:r w:rsidR="00E949A9" w:rsidRPr="004B5911">
        <w:rPr>
          <w:rFonts w:cstheme="minorHAnsi"/>
        </w:rPr>
        <w:t>,</w:t>
      </w:r>
      <w:r w:rsidR="00897759" w:rsidRPr="004B5911">
        <w:rPr>
          <w:rFonts w:cstheme="minorHAnsi"/>
        </w:rPr>
        <w:t xml:space="preserve"> uvedený na alonži.</w:t>
      </w:r>
      <w:r w:rsidR="00417863" w:rsidRPr="004B5911">
        <w:rPr>
          <w:rFonts w:cstheme="minorHAnsi"/>
        </w:rPr>
        <w:t xml:space="preserve"> Poplatníci, kteří se přihlásili k zasílání údajů pro placení daně z</w:t>
      </w:r>
      <w:r w:rsidR="00B1593F" w:rsidRPr="004B5911">
        <w:rPr>
          <w:rFonts w:cstheme="minorHAnsi"/>
        </w:rPr>
        <w:t> </w:t>
      </w:r>
      <w:r w:rsidR="00417863" w:rsidRPr="004B5911">
        <w:rPr>
          <w:rFonts w:cstheme="minorHAnsi"/>
        </w:rPr>
        <w:t>nemovitých věcí e-mailem, obdrží namísto složenky</w:t>
      </w:r>
      <w:r w:rsidR="00E1671C" w:rsidRPr="004B5911">
        <w:rPr>
          <w:rFonts w:cstheme="minorHAnsi"/>
        </w:rPr>
        <w:t xml:space="preserve"> </w:t>
      </w:r>
      <w:r w:rsidR="00417863" w:rsidRPr="004B5911">
        <w:rPr>
          <w:rFonts w:cstheme="minorHAnsi"/>
        </w:rPr>
        <w:t>e-mailovou zprávu s</w:t>
      </w:r>
      <w:r w:rsidR="00E1671C" w:rsidRPr="004B5911">
        <w:rPr>
          <w:rFonts w:cstheme="minorHAnsi"/>
        </w:rPr>
        <w:t>e stejnou</w:t>
      </w:r>
      <w:r w:rsidR="00417863" w:rsidRPr="004B5911">
        <w:rPr>
          <w:rFonts w:cstheme="minorHAnsi"/>
        </w:rPr>
        <w:t xml:space="preserve"> kompletní info</w:t>
      </w:r>
      <w:r w:rsidR="00E1671C" w:rsidRPr="004B5911">
        <w:rPr>
          <w:rFonts w:cstheme="minorHAnsi"/>
        </w:rPr>
        <w:t>rmací pro placení daně, jaká je na složence</w:t>
      </w:r>
      <w:r w:rsidR="00417863" w:rsidRPr="004B5911">
        <w:rPr>
          <w:rFonts w:cstheme="minorHAnsi"/>
        </w:rPr>
        <w:t>.</w:t>
      </w:r>
    </w:p>
    <w:p w:rsidR="004B5911" w:rsidRDefault="004B5911" w:rsidP="00ED71F3">
      <w:pPr>
        <w:autoSpaceDE w:val="0"/>
        <w:autoSpaceDN w:val="0"/>
        <w:adjustRightInd w:val="0"/>
        <w:spacing w:after="120"/>
        <w:jc w:val="both"/>
        <w:rPr>
          <w:rFonts w:cstheme="minorHAnsi"/>
          <w:u w:val="single"/>
        </w:rPr>
      </w:pPr>
    </w:p>
    <w:p w:rsidR="004B5911" w:rsidRDefault="004B5911" w:rsidP="00ED71F3">
      <w:pPr>
        <w:autoSpaceDE w:val="0"/>
        <w:autoSpaceDN w:val="0"/>
        <w:adjustRightInd w:val="0"/>
        <w:spacing w:after="120"/>
        <w:jc w:val="both"/>
        <w:rPr>
          <w:rFonts w:cstheme="minorHAnsi"/>
          <w:u w:val="single"/>
        </w:rPr>
      </w:pPr>
    </w:p>
    <w:p w:rsidR="00E16F12" w:rsidRPr="004B5911" w:rsidRDefault="002E6C2B" w:rsidP="00ED71F3">
      <w:pPr>
        <w:autoSpaceDE w:val="0"/>
        <w:autoSpaceDN w:val="0"/>
        <w:adjustRightInd w:val="0"/>
        <w:spacing w:after="120"/>
        <w:jc w:val="both"/>
        <w:rPr>
          <w:rFonts w:cstheme="minorHAnsi"/>
          <w:u w:val="single"/>
        </w:rPr>
      </w:pPr>
      <w:r w:rsidRPr="004B5911">
        <w:rPr>
          <w:rFonts w:cstheme="minorHAnsi"/>
          <w:u w:val="single"/>
        </w:rPr>
        <w:lastRenderedPageBreak/>
        <w:t xml:space="preserve">Daň </w:t>
      </w:r>
      <w:r w:rsidR="007A73F1" w:rsidRPr="004B5911">
        <w:rPr>
          <w:rFonts w:cstheme="minorHAnsi"/>
          <w:u w:val="single"/>
        </w:rPr>
        <w:t>m</w:t>
      </w:r>
      <w:r w:rsidR="002015D2" w:rsidRPr="004B5911">
        <w:rPr>
          <w:rFonts w:cstheme="minorHAnsi"/>
          <w:u w:val="single"/>
        </w:rPr>
        <w:t>ůže být</w:t>
      </w:r>
      <w:r w:rsidR="007A73F1" w:rsidRPr="004B5911">
        <w:rPr>
          <w:rFonts w:cstheme="minorHAnsi"/>
          <w:u w:val="single"/>
        </w:rPr>
        <w:t xml:space="preserve"> zapla</w:t>
      </w:r>
      <w:r w:rsidR="002015D2" w:rsidRPr="004B5911">
        <w:rPr>
          <w:rFonts w:cstheme="minorHAnsi"/>
          <w:u w:val="single"/>
        </w:rPr>
        <w:t>cena</w:t>
      </w:r>
      <w:r w:rsidR="00E16F12" w:rsidRPr="004B5911">
        <w:rPr>
          <w:rFonts w:cstheme="minorHAnsi"/>
          <w:u w:val="single"/>
        </w:rPr>
        <w:t>:</w:t>
      </w:r>
    </w:p>
    <w:p w:rsidR="00E16F12" w:rsidRPr="004B5911" w:rsidRDefault="00E16F12" w:rsidP="00E16F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4B5911">
        <w:rPr>
          <w:rFonts w:cstheme="minorHAnsi"/>
          <w:b/>
        </w:rPr>
        <w:t>bezhotovostním převodem</w:t>
      </w:r>
      <w:r w:rsidRPr="004B5911">
        <w:rPr>
          <w:rFonts w:cstheme="minorHAnsi"/>
        </w:rPr>
        <w:t xml:space="preserve"> z účtu poplatníka na účet finančního úřadu</w:t>
      </w:r>
    </w:p>
    <w:p w:rsidR="00E16F12" w:rsidRPr="004B5911" w:rsidRDefault="00E16F12" w:rsidP="00E16F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4B5911">
        <w:rPr>
          <w:rFonts w:cstheme="minorHAnsi"/>
          <w:b/>
        </w:rPr>
        <w:t>na poště</w:t>
      </w:r>
      <w:r w:rsidRPr="004B5911">
        <w:rPr>
          <w:rFonts w:cstheme="minorHAnsi"/>
        </w:rPr>
        <w:t xml:space="preserve"> daňovou složenkou bez poštovného (platí jen pro fyzické osoby) nebo běžnou</w:t>
      </w:r>
      <w:r w:rsidR="00E64169" w:rsidRPr="004B5911">
        <w:rPr>
          <w:rFonts w:cstheme="minorHAnsi"/>
        </w:rPr>
        <w:t xml:space="preserve"> </w:t>
      </w:r>
      <w:r w:rsidR="002E6C2B" w:rsidRPr="004B5911">
        <w:rPr>
          <w:rFonts w:cstheme="minorHAnsi"/>
        </w:rPr>
        <w:t xml:space="preserve">složenkou </w:t>
      </w:r>
    </w:p>
    <w:p w:rsidR="00E16F12" w:rsidRPr="004B5911" w:rsidRDefault="00E16F12" w:rsidP="00E16F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4B5911">
        <w:rPr>
          <w:rFonts w:cstheme="minorHAnsi"/>
          <w:b/>
        </w:rPr>
        <w:t>prostřednictvím SIPO</w:t>
      </w:r>
      <w:r w:rsidRPr="004B5911">
        <w:rPr>
          <w:rFonts w:cstheme="minorHAnsi"/>
        </w:rPr>
        <w:t xml:space="preserve"> (</w:t>
      </w:r>
      <w:r w:rsidR="00DA53C6" w:rsidRPr="004B5911">
        <w:rPr>
          <w:rFonts w:cstheme="minorHAnsi"/>
        </w:rPr>
        <w:t>p</w:t>
      </w:r>
      <w:r w:rsidRPr="004B5911">
        <w:rPr>
          <w:rFonts w:cstheme="minorHAnsi"/>
        </w:rPr>
        <w:t>latí pro poplatníky, kteří se k této službě přihlásili na finančním úřadě do 31. ledna 201</w:t>
      </w:r>
      <w:r w:rsidR="008D45E9" w:rsidRPr="004B5911">
        <w:rPr>
          <w:rFonts w:cstheme="minorHAnsi"/>
        </w:rPr>
        <w:t>8</w:t>
      </w:r>
      <w:r w:rsidRPr="004B5911">
        <w:rPr>
          <w:rFonts w:cstheme="minorHAnsi"/>
        </w:rPr>
        <w:t>; tito poplatníci neobdrží obálku s daňovou složenkou</w:t>
      </w:r>
      <w:r w:rsidR="00D3389A" w:rsidRPr="004B5911">
        <w:rPr>
          <w:rFonts w:cstheme="minorHAnsi"/>
        </w:rPr>
        <w:t>. Pozor na dostatečnou výši inkasního limitu pro platbu SIPO!</w:t>
      </w:r>
      <w:r w:rsidRPr="004B5911">
        <w:rPr>
          <w:rFonts w:cstheme="minorHAnsi"/>
        </w:rPr>
        <w:t>)</w:t>
      </w:r>
    </w:p>
    <w:p w:rsidR="00E16F12" w:rsidRPr="004B5911" w:rsidRDefault="002E6C2B" w:rsidP="00E16F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4B5911">
        <w:rPr>
          <w:rFonts w:cstheme="minorHAnsi"/>
          <w:b/>
        </w:rPr>
        <w:t>hotov</w:t>
      </w:r>
      <w:r w:rsidR="002015D2" w:rsidRPr="004B5911">
        <w:rPr>
          <w:rFonts w:cstheme="minorHAnsi"/>
          <w:b/>
        </w:rPr>
        <w:t>ě</w:t>
      </w:r>
      <w:r w:rsidRPr="004B5911">
        <w:rPr>
          <w:rFonts w:cstheme="minorHAnsi"/>
          <w:b/>
        </w:rPr>
        <w:t xml:space="preserve"> v pokladně</w:t>
      </w:r>
      <w:r w:rsidRPr="004B5911">
        <w:rPr>
          <w:rFonts w:cstheme="minorHAnsi"/>
        </w:rPr>
        <w:t xml:space="preserve"> finančního úřadu</w:t>
      </w:r>
      <w:r w:rsidR="00535445">
        <w:rPr>
          <w:rFonts w:cstheme="minorHAnsi"/>
        </w:rPr>
        <w:t xml:space="preserve"> – </w:t>
      </w:r>
      <w:r w:rsidR="00535445">
        <w:rPr>
          <w:rFonts w:cstheme="minorHAnsi"/>
          <w:color w:val="FF0000"/>
        </w:rPr>
        <w:t xml:space="preserve">na ÚzP v Českém Brodě byla pokladna </w:t>
      </w:r>
      <w:proofErr w:type="gramStart"/>
      <w:r w:rsidR="00535445">
        <w:rPr>
          <w:rFonts w:cstheme="minorHAnsi"/>
          <w:color w:val="FF0000"/>
        </w:rPr>
        <w:t>ZRUŠENA !!!</w:t>
      </w:r>
      <w:bookmarkStart w:id="0" w:name="_GoBack"/>
      <w:bookmarkEnd w:id="0"/>
      <w:proofErr w:type="gramEnd"/>
    </w:p>
    <w:p w:rsidR="00E16F12" w:rsidRPr="004B5911" w:rsidRDefault="00E16F12" w:rsidP="00E16F12">
      <w:pPr>
        <w:pStyle w:val="Odstavecseseznamem"/>
        <w:autoSpaceDE w:val="0"/>
        <w:autoSpaceDN w:val="0"/>
        <w:adjustRightInd w:val="0"/>
        <w:spacing w:after="120"/>
        <w:ind w:left="360"/>
        <w:jc w:val="both"/>
        <w:rPr>
          <w:rFonts w:cstheme="minorHAnsi"/>
        </w:rPr>
      </w:pPr>
    </w:p>
    <w:p w:rsidR="00764B7F" w:rsidRPr="004B5911" w:rsidRDefault="00764B7F" w:rsidP="00764B7F">
      <w:pPr>
        <w:autoSpaceDE w:val="0"/>
        <w:autoSpaceDN w:val="0"/>
        <w:adjustRightInd w:val="0"/>
        <w:spacing w:after="120"/>
        <w:jc w:val="both"/>
        <w:rPr>
          <w:rFonts w:cstheme="minorHAnsi"/>
          <w:bCs/>
        </w:rPr>
      </w:pPr>
      <w:r w:rsidRPr="004B5911">
        <w:rPr>
          <w:rFonts w:cstheme="minorHAnsi"/>
        </w:rPr>
        <w:t>Poplatníkům daně z nemovitých věcí, u nichž na zdaňovací období roku 201</w:t>
      </w:r>
      <w:r w:rsidR="008418F3" w:rsidRPr="004B5911">
        <w:rPr>
          <w:rFonts w:cstheme="minorHAnsi"/>
        </w:rPr>
        <w:t>8</w:t>
      </w:r>
      <w:r w:rsidRPr="004B5911">
        <w:rPr>
          <w:rFonts w:cstheme="minorHAnsi"/>
        </w:rPr>
        <w:t xml:space="preserve"> došlo ke změně výše daně oproti předchozímu roku, případně oproti částce vypočtené v daňovém přiznání, sděluje </w:t>
      </w:r>
      <w:r w:rsidR="00A50C45" w:rsidRPr="004B5911">
        <w:rPr>
          <w:rFonts w:cstheme="minorHAnsi"/>
        </w:rPr>
        <w:t xml:space="preserve">novou výši daně </w:t>
      </w:r>
      <w:r w:rsidRPr="004B5911">
        <w:rPr>
          <w:rFonts w:cstheme="minorHAnsi"/>
        </w:rPr>
        <w:t>místně příslušný finanční úřad nejčastěji hromadným předpisným seznamem. Tento seznam</w:t>
      </w:r>
      <w:r w:rsidR="00A50C45" w:rsidRPr="004B5911">
        <w:rPr>
          <w:rFonts w:cstheme="minorHAnsi"/>
        </w:rPr>
        <w:t xml:space="preserve"> j</w:t>
      </w:r>
      <w:r w:rsidRPr="004B5911">
        <w:rPr>
          <w:rFonts w:cstheme="minorHAnsi"/>
        </w:rPr>
        <w:t>e pro poplatníky zpřístupněn k nahlédnutí na všech územních pracovištích příslušného finančního úřadu</w:t>
      </w:r>
      <w:r w:rsidRPr="004B5911">
        <w:rPr>
          <w:rFonts w:cstheme="minorHAnsi"/>
          <w:bCs/>
        </w:rPr>
        <w:t xml:space="preserve"> v pracovních dnech </w:t>
      </w:r>
      <w:r w:rsidR="008F3F3A" w:rsidRPr="004B5911">
        <w:rPr>
          <w:rFonts w:cstheme="minorHAnsi"/>
          <w:bCs/>
        </w:rPr>
        <w:t xml:space="preserve">v průběhu měsíce května. </w:t>
      </w:r>
    </w:p>
    <w:p w:rsidR="00693B66" w:rsidRDefault="00D3389A" w:rsidP="004B591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B5911">
        <w:rPr>
          <w:rFonts w:cstheme="minorHAnsi"/>
        </w:rPr>
        <w:t xml:space="preserve">V případě nejasností či nesrovnalostí se mohou poplatníci obrátit na </w:t>
      </w:r>
      <w:r w:rsidR="000D1BD7" w:rsidRPr="004B5911">
        <w:rPr>
          <w:rFonts w:cstheme="minorHAnsi"/>
        </w:rPr>
        <w:t>finanční úřad v místě</w:t>
      </w:r>
      <w:r w:rsidRPr="004B5911">
        <w:rPr>
          <w:rFonts w:cstheme="minorHAnsi"/>
        </w:rPr>
        <w:t>, kde je umístěn spis.</w:t>
      </w:r>
    </w:p>
    <w:p w:rsidR="004B5911" w:rsidRPr="004B5911" w:rsidRDefault="004B5911" w:rsidP="004B591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124940" w:rsidRPr="004B5911" w:rsidRDefault="00124940" w:rsidP="00124940">
      <w:pPr>
        <w:outlineLvl w:val="0"/>
        <w:rPr>
          <w:rFonts w:cstheme="minorHAnsi"/>
          <w:b/>
          <w:bCs/>
        </w:rPr>
      </w:pPr>
      <w:r w:rsidRPr="004B5911">
        <w:rPr>
          <w:rFonts w:cstheme="minorHAnsi"/>
          <w:b/>
          <w:bCs/>
        </w:rPr>
        <w:t>Čísla bankovních účtů finančních úřadů pro placení daně z nemovitých věcí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717"/>
      </w:tblGrid>
      <w:tr w:rsidR="00124940" w:rsidRPr="004B5911" w:rsidTr="00923D62">
        <w:trPr>
          <w:trHeight w:val="273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hlavní město Prahu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outlineLvl w:val="0"/>
              <w:rPr>
                <w:rFonts w:cstheme="minorHAnsi"/>
                <w:bCs/>
              </w:rPr>
            </w:pPr>
            <w:r w:rsidRPr="004B5911">
              <w:rPr>
                <w:rFonts w:cstheme="minorHAnsi"/>
                <w:bCs/>
              </w:rPr>
              <w:t>7755-77628031/0710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>Finanční úřad pro Středočeský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7755-77628111/0710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>Finanční úřad pro Jihočeský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7755-77627231/0710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>Finanční úřad pro Plzeňský kraj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7755-77627311/0710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Karlovarský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7755-77629341/0710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Ústecký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7755-77621411/0710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Liberecký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7755-77628461/0710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F798C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>Finanční úřad pro Králov</w:t>
            </w:r>
            <w:r w:rsidR="006F798C" w:rsidRPr="004B5911">
              <w:rPr>
                <w:rFonts w:cstheme="minorHAnsi"/>
                <w:b/>
                <w:bCs/>
              </w:rPr>
              <w:t>é</w:t>
            </w:r>
            <w:r w:rsidRPr="004B5911">
              <w:rPr>
                <w:rFonts w:cstheme="minorHAnsi"/>
                <w:b/>
                <w:bCs/>
              </w:rPr>
              <w:t xml:space="preserve">hradecký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7755-77626511/0710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Pardubický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7755-77622561/0710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Kraj Vysočina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7755-67626681/0710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Jihomoravský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7755-77628621/0710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Olomoucký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7755-47623811/0710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Moravskoslezský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7755-77621761/0710</w:t>
            </w:r>
          </w:p>
        </w:tc>
      </w:tr>
      <w:tr w:rsidR="00124940" w:rsidRPr="004B5911" w:rsidTr="0099299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  <w:b/>
                <w:bCs/>
              </w:rPr>
              <w:t xml:space="preserve">Finanční úřad pro Zlínský kraj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40" w:rsidRPr="004B5911" w:rsidRDefault="00124940" w:rsidP="00634651">
            <w:pPr>
              <w:rPr>
                <w:rFonts w:cstheme="minorHAnsi"/>
                <w:bCs/>
              </w:rPr>
            </w:pPr>
            <w:r w:rsidRPr="004B5911">
              <w:rPr>
                <w:rFonts w:cstheme="minorHAnsi"/>
              </w:rPr>
              <w:t>7755-47620661/0710</w:t>
            </w:r>
          </w:p>
        </w:tc>
      </w:tr>
    </w:tbl>
    <w:p w:rsidR="004B5911" w:rsidRDefault="004B5911" w:rsidP="00E16F12">
      <w:pPr>
        <w:rPr>
          <w:rFonts w:cstheme="minorHAnsi"/>
          <w:b/>
          <w:bCs/>
        </w:rPr>
      </w:pPr>
    </w:p>
    <w:p w:rsidR="00E16F12" w:rsidRPr="004B5911" w:rsidRDefault="00E16F12" w:rsidP="00E16F12">
      <w:pPr>
        <w:rPr>
          <w:rFonts w:cstheme="minorHAnsi"/>
          <w:bCs/>
        </w:rPr>
      </w:pPr>
      <w:r w:rsidRPr="004B5911">
        <w:rPr>
          <w:rFonts w:cstheme="minorHAnsi"/>
          <w:b/>
          <w:bCs/>
        </w:rPr>
        <w:lastRenderedPageBreak/>
        <w:t xml:space="preserve">Variabilní symbol: </w:t>
      </w:r>
      <w:r w:rsidRPr="004B5911">
        <w:rPr>
          <w:rFonts w:cstheme="minorHAnsi"/>
          <w:b/>
          <w:bCs/>
        </w:rPr>
        <w:tab/>
      </w:r>
      <w:r w:rsidRPr="004B5911">
        <w:rPr>
          <w:rFonts w:cstheme="minorHAnsi"/>
          <w:bCs/>
        </w:rPr>
        <w:t>rodné číslo poplatníka – fyzické osoby nebo IČ právnické osoby</w:t>
      </w:r>
    </w:p>
    <w:p w:rsidR="00E16F12" w:rsidRPr="004B5911" w:rsidRDefault="00E16F12" w:rsidP="00E16F1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B5911">
        <w:rPr>
          <w:rFonts w:cstheme="minorHAnsi"/>
          <w:b/>
          <w:bCs/>
        </w:rPr>
        <w:t xml:space="preserve">Konstantní symbol: </w:t>
      </w:r>
      <w:r w:rsidRPr="004B5911">
        <w:rPr>
          <w:rFonts w:cstheme="minorHAnsi"/>
          <w:b/>
          <w:bCs/>
        </w:rPr>
        <w:tab/>
      </w:r>
      <w:r w:rsidRPr="004B5911">
        <w:rPr>
          <w:rFonts w:cstheme="minorHAnsi"/>
        </w:rPr>
        <w:t>1148 – při bezhotovostní platbě převodem z účtu</w:t>
      </w:r>
    </w:p>
    <w:p w:rsidR="00E16F12" w:rsidRPr="004B5911" w:rsidRDefault="00E16F12" w:rsidP="00E16F1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B5911">
        <w:rPr>
          <w:rFonts w:cstheme="minorHAnsi"/>
        </w:rPr>
        <w:tab/>
      </w:r>
      <w:r w:rsidRPr="004B5911">
        <w:rPr>
          <w:rFonts w:cstheme="minorHAnsi"/>
        </w:rPr>
        <w:tab/>
      </w:r>
      <w:r w:rsidRPr="004B5911">
        <w:rPr>
          <w:rFonts w:cstheme="minorHAnsi"/>
        </w:rPr>
        <w:tab/>
        <w:t>1149 – při hotovostní platbě běžnou poštovní poukázkou</w:t>
      </w:r>
    </w:p>
    <w:p w:rsidR="00E16F12" w:rsidRPr="004B5911" w:rsidRDefault="00E16F12" w:rsidP="00E16F1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B5911">
        <w:rPr>
          <w:rFonts w:cstheme="minorHAnsi"/>
        </w:rPr>
        <w:tab/>
      </w:r>
      <w:r w:rsidRPr="004B5911">
        <w:rPr>
          <w:rFonts w:cstheme="minorHAnsi"/>
        </w:rPr>
        <w:tab/>
      </w:r>
      <w:r w:rsidRPr="004B5911">
        <w:rPr>
          <w:rFonts w:cstheme="minorHAnsi"/>
        </w:rPr>
        <w:tab/>
        <w:t>0001</w:t>
      </w:r>
      <w:r w:rsidR="00B1593F" w:rsidRPr="004B5911">
        <w:rPr>
          <w:rFonts w:cstheme="minorHAnsi"/>
        </w:rPr>
        <w:t xml:space="preserve"> </w:t>
      </w:r>
      <w:r w:rsidRPr="004B5911">
        <w:rPr>
          <w:rFonts w:cstheme="minorHAnsi"/>
        </w:rPr>
        <w:t xml:space="preserve">– při hotovostní platbě daňovou složenkou </w:t>
      </w:r>
    </w:p>
    <w:p w:rsidR="00D3389A" w:rsidRPr="004B5911" w:rsidRDefault="00D3389A" w:rsidP="00E16F1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674630" w:rsidRPr="004B5911" w:rsidRDefault="000C6921" w:rsidP="00923D6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B5911">
        <w:rPr>
          <w:rFonts w:cstheme="minorHAnsi"/>
        </w:rPr>
        <w:t>Užitečné odkazy:</w:t>
      </w:r>
      <w:r w:rsidR="00923D62" w:rsidRPr="004B5911">
        <w:rPr>
          <w:rFonts w:cstheme="minorHAnsi"/>
        </w:rPr>
        <w:t xml:space="preserve">  </w:t>
      </w:r>
      <w:hyperlink r:id="rId8" w:history="1">
        <w:r w:rsidR="00417863" w:rsidRPr="004B5911">
          <w:rPr>
            <w:rStyle w:val="Hypertextovodkaz"/>
            <w:rFonts w:cstheme="minorHAnsi"/>
          </w:rPr>
          <w:t>Informace k zasílání složenek</w:t>
        </w:r>
      </w:hyperlink>
      <w:r w:rsidR="00923D62" w:rsidRPr="004B5911">
        <w:rPr>
          <w:rStyle w:val="Hypertextovodkaz"/>
          <w:rFonts w:cstheme="minorHAnsi"/>
        </w:rPr>
        <w:t xml:space="preserve">, </w:t>
      </w:r>
      <w:hyperlink r:id="rId9" w:history="1">
        <w:r w:rsidR="00527D33" w:rsidRPr="004B5911">
          <w:rPr>
            <w:rStyle w:val="Hypertextovodkaz"/>
            <w:rFonts w:cstheme="minorHAnsi"/>
          </w:rPr>
          <w:t>Jak správně zaplatit daň</w:t>
        </w:r>
      </w:hyperlink>
      <w:r w:rsidR="00527D33" w:rsidRPr="004B5911">
        <w:rPr>
          <w:rStyle w:val="Hypertextovodkaz"/>
          <w:rFonts w:cstheme="minorHAnsi"/>
        </w:rPr>
        <w:t xml:space="preserve">, </w:t>
      </w:r>
      <w:r w:rsidR="00B1593F" w:rsidRPr="004B5911">
        <w:rPr>
          <w:rStyle w:val="Hypertextovodkaz"/>
          <w:rFonts w:cstheme="minorHAnsi"/>
        </w:rPr>
        <w:t xml:space="preserve"> </w:t>
      </w:r>
      <w:hyperlink r:id="rId10" w:history="1">
        <w:r w:rsidR="00B1593F" w:rsidRPr="004B5911">
          <w:rPr>
            <w:rStyle w:val="Hypertextovodkaz"/>
            <w:rFonts w:cstheme="minorHAnsi"/>
          </w:rPr>
          <w:t>Zasílání údajů pro placení daně e-mailem</w:t>
        </w:r>
      </w:hyperlink>
      <w:r w:rsidR="00B1593F" w:rsidRPr="004B5911">
        <w:rPr>
          <w:rStyle w:val="Hypertextovodkaz"/>
          <w:rFonts w:cstheme="minorHAnsi"/>
        </w:rPr>
        <w:t xml:space="preserve">, </w:t>
      </w:r>
      <w:hyperlink r:id="rId11" w:history="1">
        <w:r w:rsidR="00B1593F" w:rsidRPr="004B5911">
          <w:rPr>
            <w:rStyle w:val="Hypertextovodkaz"/>
            <w:rFonts w:cstheme="minorHAnsi"/>
          </w:rPr>
          <w:t>Placení daně prostřednictvím SIPO</w:t>
        </w:r>
      </w:hyperlink>
    </w:p>
    <w:p w:rsidR="00674630" w:rsidRPr="004B5911" w:rsidRDefault="00674630" w:rsidP="00923D6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B5911" w:rsidRPr="004B5911" w:rsidRDefault="004B5911" w:rsidP="004B5911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</w:p>
    <w:p w:rsidR="004B5911" w:rsidRPr="004B5911" w:rsidRDefault="004B5911" w:rsidP="004B5911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</w:p>
    <w:p w:rsidR="004E5FDB" w:rsidRPr="004B5911" w:rsidRDefault="004E5FDB" w:rsidP="004B5911">
      <w:pPr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4B5911">
        <w:rPr>
          <w:rFonts w:cstheme="minorHAnsi"/>
        </w:rPr>
        <w:t xml:space="preserve">V Praze dne </w:t>
      </w:r>
      <w:r w:rsidR="00DF3D1E">
        <w:rPr>
          <w:rFonts w:cstheme="minorHAnsi"/>
        </w:rPr>
        <w:t>9</w:t>
      </w:r>
      <w:r w:rsidRPr="004B5911">
        <w:rPr>
          <w:rFonts w:cstheme="minorHAnsi"/>
        </w:rPr>
        <w:t xml:space="preserve">. </w:t>
      </w:r>
      <w:r w:rsidR="00B1593F" w:rsidRPr="004B5911">
        <w:rPr>
          <w:rFonts w:cstheme="minorHAnsi"/>
        </w:rPr>
        <w:t xml:space="preserve">května </w:t>
      </w:r>
      <w:r w:rsidR="007A1877" w:rsidRPr="004B5911">
        <w:rPr>
          <w:rFonts w:cstheme="minorHAnsi"/>
        </w:rPr>
        <w:t>201</w:t>
      </w:r>
      <w:r w:rsidR="00527D33" w:rsidRPr="004B5911">
        <w:rPr>
          <w:rFonts w:cstheme="minorHAnsi"/>
        </w:rPr>
        <w:t>8</w:t>
      </w:r>
    </w:p>
    <w:p w:rsidR="00923D62" w:rsidRPr="004B5911" w:rsidRDefault="00923D62" w:rsidP="00923D6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4B5911" w:rsidRPr="004B5911" w:rsidRDefault="004B5911" w:rsidP="004B5911">
      <w:pPr>
        <w:spacing w:after="0"/>
        <w:jc w:val="both"/>
        <w:rPr>
          <w:rFonts w:cstheme="minorHAnsi"/>
        </w:rPr>
      </w:pPr>
      <w:r w:rsidRPr="004B5911">
        <w:rPr>
          <w:rFonts w:cstheme="minorHAnsi"/>
        </w:rPr>
        <w:t xml:space="preserve">Ing. Kateřina </w:t>
      </w:r>
      <w:proofErr w:type="spellStart"/>
      <w:r w:rsidRPr="004B5911">
        <w:rPr>
          <w:rFonts w:cstheme="minorHAnsi"/>
        </w:rPr>
        <w:t>Vaidišová</w:t>
      </w:r>
      <w:proofErr w:type="spellEnd"/>
    </w:p>
    <w:p w:rsidR="004B5911" w:rsidRPr="004B5911" w:rsidRDefault="004B5911" w:rsidP="004B5911">
      <w:pPr>
        <w:spacing w:after="0"/>
        <w:jc w:val="both"/>
        <w:rPr>
          <w:rFonts w:cstheme="minorHAnsi"/>
        </w:rPr>
      </w:pPr>
      <w:r w:rsidRPr="004B5911">
        <w:rPr>
          <w:rFonts w:cstheme="minorHAnsi"/>
        </w:rPr>
        <w:t>tisková mluvčí</w:t>
      </w:r>
      <w:r w:rsidRPr="004B5911">
        <w:rPr>
          <w:rFonts w:cstheme="minorHAnsi"/>
        </w:rPr>
        <w:tab/>
      </w:r>
      <w:r w:rsidRPr="004B5911">
        <w:rPr>
          <w:rFonts w:cstheme="minorHAnsi"/>
        </w:rPr>
        <w:tab/>
        <w:t xml:space="preserve">              </w:t>
      </w:r>
    </w:p>
    <w:p w:rsidR="004B5911" w:rsidRPr="004B5911" w:rsidRDefault="004B5911" w:rsidP="004B5911">
      <w:pPr>
        <w:spacing w:after="0"/>
        <w:jc w:val="both"/>
        <w:rPr>
          <w:rFonts w:cstheme="minorHAnsi"/>
        </w:rPr>
      </w:pPr>
      <w:r w:rsidRPr="004B5911">
        <w:rPr>
          <w:rFonts w:cstheme="minorHAnsi"/>
        </w:rPr>
        <w:t>Generální finanční ředitelství</w:t>
      </w:r>
    </w:p>
    <w:p w:rsidR="004B5911" w:rsidRPr="004B5911" w:rsidRDefault="004B5911" w:rsidP="004B5911">
      <w:pPr>
        <w:spacing w:after="0"/>
        <w:jc w:val="both"/>
        <w:rPr>
          <w:rFonts w:cstheme="minorHAnsi"/>
          <w:iCs/>
        </w:rPr>
      </w:pPr>
      <w:r w:rsidRPr="004B5911">
        <w:rPr>
          <w:rFonts w:cstheme="minorHAnsi"/>
        </w:rPr>
        <w:t>Telefon: 724 736 501</w:t>
      </w:r>
      <w:r w:rsidRPr="004B5911">
        <w:rPr>
          <w:rFonts w:cstheme="minorHAnsi"/>
        </w:rPr>
        <w:tab/>
      </w:r>
    </w:p>
    <w:p w:rsidR="006108D5" w:rsidRPr="004B5911" w:rsidRDefault="006108D5" w:rsidP="00923D62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sectPr w:rsidR="006108D5" w:rsidRPr="004B5911" w:rsidSect="00923D62">
      <w:headerReference w:type="default" r:id="rId12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5F" w:rsidRDefault="0031695F" w:rsidP="00A44ED9">
      <w:pPr>
        <w:spacing w:after="0" w:line="240" w:lineRule="auto"/>
      </w:pPr>
      <w:r>
        <w:separator/>
      </w:r>
    </w:p>
  </w:endnote>
  <w:endnote w:type="continuationSeparator" w:id="0">
    <w:p w:rsidR="0031695F" w:rsidRDefault="0031695F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5F" w:rsidRDefault="0031695F" w:rsidP="00A44ED9">
      <w:pPr>
        <w:spacing w:after="0" w:line="240" w:lineRule="auto"/>
      </w:pPr>
      <w:r>
        <w:separator/>
      </w:r>
    </w:p>
  </w:footnote>
  <w:footnote w:type="continuationSeparator" w:id="0">
    <w:p w:rsidR="0031695F" w:rsidRDefault="0031695F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57" w:rsidRDefault="006A4D57">
    <w:pPr>
      <w:pStyle w:val="Zhlav"/>
    </w:pPr>
  </w:p>
  <w:p w:rsidR="006A4D57" w:rsidRDefault="006A4D57">
    <w:pPr>
      <w:pStyle w:val="Zhlav"/>
    </w:pPr>
  </w:p>
  <w:p w:rsidR="00A44ED9" w:rsidRDefault="00A44ED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-918845</wp:posOffset>
          </wp:positionH>
          <wp:positionV relativeFrom="paragraph">
            <wp:posOffset>-453390</wp:posOffset>
          </wp:positionV>
          <wp:extent cx="7590790" cy="1254760"/>
          <wp:effectExtent l="0" t="0" r="0" b="2540"/>
          <wp:wrapNone/>
          <wp:docPr id="2" name="Obrázek 2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4ED9"/>
    <w:rsid w:val="000034C6"/>
    <w:rsid w:val="000038C9"/>
    <w:rsid w:val="00036556"/>
    <w:rsid w:val="00095605"/>
    <w:rsid w:val="000A3A20"/>
    <w:rsid w:val="000C6921"/>
    <w:rsid w:val="000D1BD7"/>
    <w:rsid w:val="000D5711"/>
    <w:rsid w:val="000F01DF"/>
    <w:rsid w:val="000F151A"/>
    <w:rsid w:val="0010283E"/>
    <w:rsid w:val="00117BFF"/>
    <w:rsid w:val="00124940"/>
    <w:rsid w:val="00126611"/>
    <w:rsid w:val="00127ADC"/>
    <w:rsid w:val="00137D37"/>
    <w:rsid w:val="00147ED2"/>
    <w:rsid w:val="0015236F"/>
    <w:rsid w:val="00173981"/>
    <w:rsid w:val="00177455"/>
    <w:rsid w:val="00197FA0"/>
    <w:rsid w:val="001A35BA"/>
    <w:rsid w:val="001F1119"/>
    <w:rsid w:val="002015D2"/>
    <w:rsid w:val="00211D0C"/>
    <w:rsid w:val="00230569"/>
    <w:rsid w:val="00234775"/>
    <w:rsid w:val="00236496"/>
    <w:rsid w:val="00242362"/>
    <w:rsid w:val="00243960"/>
    <w:rsid w:val="002B08FE"/>
    <w:rsid w:val="002B643F"/>
    <w:rsid w:val="002E3898"/>
    <w:rsid w:val="002E53B9"/>
    <w:rsid w:val="002E6C2B"/>
    <w:rsid w:val="002F041D"/>
    <w:rsid w:val="002F15A0"/>
    <w:rsid w:val="0031553C"/>
    <w:rsid w:val="0031695F"/>
    <w:rsid w:val="00316B2E"/>
    <w:rsid w:val="00317706"/>
    <w:rsid w:val="0035007A"/>
    <w:rsid w:val="003964F7"/>
    <w:rsid w:val="003A266D"/>
    <w:rsid w:val="003C1ED9"/>
    <w:rsid w:val="003E324D"/>
    <w:rsid w:val="00417863"/>
    <w:rsid w:val="004324F8"/>
    <w:rsid w:val="0047125A"/>
    <w:rsid w:val="0047347D"/>
    <w:rsid w:val="00476310"/>
    <w:rsid w:val="00477A5E"/>
    <w:rsid w:val="004B5911"/>
    <w:rsid w:val="004B6BA4"/>
    <w:rsid w:val="004D1CDF"/>
    <w:rsid w:val="004D3786"/>
    <w:rsid w:val="004D65E7"/>
    <w:rsid w:val="004E5FDB"/>
    <w:rsid w:val="004F398B"/>
    <w:rsid w:val="004F5FB5"/>
    <w:rsid w:val="005117FD"/>
    <w:rsid w:val="00527D33"/>
    <w:rsid w:val="00535445"/>
    <w:rsid w:val="0054766B"/>
    <w:rsid w:val="005532D9"/>
    <w:rsid w:val="005550AD"/>
    <w:rsid w:val="00591181"/>
    <w:rsid w:val="005D4069"/>
    <w:rsid w:val="005E780A"/>
    <w:rsid w:val="00604C08"/>
    <w:rsid w:val="006108D5"/>
    <w:rsid w:val="00624B92"/>
    <w:rsid w:val="0063571E"/>
    <w:rsid w:val="00674630"/>
    <w:rsid w:val="00682669"/>
    <w:rsid w:val="00693B66"/>
    <w:rsid w:val="006A4D57"/>
    <w:rsid w:val="006C2F1C"/>
    <w:rsid w:val="006E5CDC"/>
    <w:rsid w:val="006F798C"/>
    <w:rsid w:val="0071247C"/>
    <w:rsid w:val="00733880"/>
    <w:rsid w:val="00743D76"/>
    <w:rsid w:val="00764B7F"/>
    <w:rsid w:val="007714C0"/>
    <w:rsid w:val="00773ECF"/>
    <w:rsid w:val="007A1877"/>
    <w:rsid w:val="007A451F"/>
    <w:rsid w:val="007A73F1"/>
    <w:rsid w:val="007E004A"/>
    <w:rsid w:val="007E38C7"/>
    <w:rsid w:val="00813181"/>
    <w:rsid w:val="00827A76"/>
    <w:rsid w:val="008418F3"/>
    <w:rsid w:val="00847F0A"/>
    <w:rsid w:val="00850F63"/>
    <w:rsid w:val="00857471"/>
    <w:rsid w:val="008628D0"/>
    <w:rsid w:val="00871F66"/>
    <w:rsid w:val="00897759"/>
    <w:rsid w:val="00897F5E"/>
    <w:rsid w:val="008B5078"/>
    <w:rsid w:val="008D45E9"/>
    <w:rsid w:val="008E00B0"/>
    <w:rsid w:val="008E7C2A"/>
    <w:rsid w:val="008F3F3A"/>
    <w:rsid w:val="00923D62"/>
    <w:rsid w:val="00966015"/>
    <w:rsid w:val="00981066"/>
    <w:rsid w:val="00984027"/>
    <w:rsid w:val="00992998"/>
    <w:rsid w:val="00993A21"/>
    <w:rsid w:val="009E61B1"/>
    <w:rsid w:val="00A129CF"/>
    <w:rsid w:val="00A211C8"/>
    <w:rsid w:val="00A2771A"/>
    <w:rsid w:val="00A44998"/>
    <w:rsid w:val="00A44ED9"/>
    <w:rsid w:val="00A50C45"/>
    <w:rsid w:val="00A60F2B"/>
    <w:rsid w:val="00A61E5F"/>
    <w:rsid w:val="00AA4F6A"/>
    <w:rsid w:val="00AB2D49"/>
    <w:rsid w:val="00AB6599"/>
    <w:rsid w:val="00AC15B9"/>
    <w:rsid w:val="00AD3B63"/>
    <w:rsid w:val="00B1593F"/>
    <w:rsid w:val="00B51844"/>
    <w:rsid w:val="00B71A0D"/>
    <w:rsid w:val="00B8124A"/>
    <w:rsid w:val="00B8406A"/>
    <w:rsid w:val="00B96E71"/>
    <w:rsid w:val="00BA3030"/>
    <w:rsid w:val="00C40346"/>
    <w:rsid w:val="00C70199"/>
    <w:rsid w:val="00CC7EDE"/>
    <w:rsid w:val="00CD5A24"/>
    <w:rsid w:val="00CE2E85"/>
    <w:rsid w:val="00D00D77"/>
    <w:rsid w:val="00D3389A"/>
    <w:rsid w:val="00D37861"/>
    <w:rsid w:val="00D540FC"/>
    <w:rsid w:val="00DA1B1D"/>
    <w:rsid w:val="00DA2F4F"/>
    <w:rsid w:val="00DA53C6"/>
    <w:rsid w:val="00DB3B1E"/>
    <w:rsid w:val="00DB6709"/>
    <w:rsid w:val="00DB6E06"/>
    <w:rsid w:val="00DE375F"/>
    <w:rsid w:val="00DF3D1E"/>
    <w:rsid w:val="00E12F59"/>
    <w:rsid w:val="00E14D1A"/>
    <w:rsid w:val="00E1671C"/>
    <w:rsid w:val="00E16F12"/>
    <w:rsid w:val="00E64169"/>
    <w:rsid w:val="00E67E40"/>
    <w:rsid w:val="00E72BBB"/>
    <w:rsid w:val="00E949A9"/>
    <w:rsid w:val="00EA16F0"/>
    <w:rsid w:val="00EB3F87"/>
    <w:rsid w:val="00ED71F3"/>
    <w:rsid w:val="00EE378F"/>
    <w:rsid w:val="00EF387F"/>
    <w:rsid w:val="00F331D5"/>
    <w:rsid w:val="00F37E25"/>
    <w:rsid w:val="00F42E24"/>
    <w:rsid w:val="00F74700"/>
    <w:rsid w:val="00F76038"/>
    <w:rsid w:val="00FA696B"/>
    <w:rsid w:val="00FD0CFE"/>
    <w:rsid w:val="00FD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236F"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nisprava.cz/cs/dane/dane/dan-z-nemovitych-veci/Slozenky-pro-placeni-dane-z-nemovitych-ve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nancnisprava.cz/SIPO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financnisprava.cz/em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ancnisprava.cz/cs/dane/placeni-dani/jak-spravne-zaplatit-dan/2018/2018-jak-spravne-zaplatit-dan-fu-898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22F2-011A-4A2D-AD37-A32CCD8F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Vávra (GFŘ)</dc:creator>
  <cp:lastModifiedBy>uzivatel</cp:lastModifiedBy>
  <cp:revision>2</cp:revision>
  <cp:lastPrinted>2018-05-09T16:02:00Z</cp:lastPrinted>
  <dcterms:created xsi:type="dcterms:W3CDTF">2018-05-09T16:04:00Z</dcterms:created>
  <dcterms:modified xsi:type="dcterms:W3CDTF">2018-05-09T16:04:00Z</dcterms:modified>
</cp:coreProperties>
</file>